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sr-CS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-766445</wp:posOffset>
            </wp:positionH>
            <wp:positionV relativeFrom="paragraph">
              <wp:posOffset>35560</wp:posOffset>
            </wp:positionV>
            <wp:extent cx="761365" cy="1029970"/>
            <wp:effectExtent l="0" t="0" r="0" b="0"/>
            <wp:wrapSquare wrapText="largest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4"/>
          <w:szCs w:val="24"/>
          <w:lang w:val="sr-CS"/>
        </w:rPr>
        <w:t>Р</w:t>
      </w:r>
      <w:r>
        <w:rPr>
          <w:rFonts w:cs="Times New Roman" w:ascii="Times New Roman" w:hAnsi="Times New Roman"/>
          <w:sz w:val="24"/>
          <w:szCs w:val="24"/>
          <w:lang w:val="sr-CS"/>
        </w:rPr>
        <w:t>ЕПУБЛИКА СРБИЈА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>Општина Ћићевац</w:t>
      </w:r>
      <w:r>
        <w:rPr>
          <w:rFonts w:cs="Times New Roman" w:ascii="Times New Roman" w:hAnsi="Times New Roman"/>
          <w:sz w:val="24"/>
          <w:szCs w:val="24"/>
          <w:lang w:val="sr-RS"/>
        </w:rPr>
        <w:t xml:space="preserve">                                                                              </w:t>
      </w:r>
      <w:r>
        <w:rPr>
          <w:rFonts w:cs="Times New Roman" w:ascii="Times New Roman" w:hAnsi="Times New Roman"/>
          <w:b/>
          <w:bCs/>
          <w:sz w:val="24"/>
          <w:szCs w:val="24"/>
          <w:lang w:val="sr-RS"/>
        </w:rPr>
        <w:t xml:space="preserve">    </w:t>
      </w: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Ш</w:t>
      </w:r>
      <w:r>
        <w:rPr>
          <w:rFonts w:cs="Times New Roman" w:ascii="Times New Roman" w:hAnsi="Times New Roman"/>
          <w:b/>
          <w:bCs/>
          <w:sz w:val="24"/>
          <w:szCs w:val="24"/>
          <w:lang w:val="sr-RS"/>
        </w:rPr>
        <w:t>ифра: КЛ-03-02/03</w:t>
      </w:r>
      <w:r>
        <w:rPr>
          <w:rFonts w:eastAsia="Times New Roman" w:cs="Times New Roman" w:ascii="Times New Roman" w:hAnsi="Times New Roman"/>
          <w:b/>
          <w:sz w:val="24"/>
          <w:szCs w:val="24"/>
          <w:lang w:val="sr-RS"/>
        </w:rPr>
        <w:t xml:space="preserve">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 xml:space="preserve">Општинска управа                                                                                </w:t>
      </w:r>
      <w:r>
        <w:rPr>
          <w:rFonts w:cs="Times New Roman" w:ascii="Times New Roman" w:hAnsi="Times New Roman"/>
          <w:b/>
          <w:bCs/>
          <w:sz w:val="24"/>
          <w:szCs w:val="24"/>
          <w:lang w:val="sr-CS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lang w:val="sr-RS"/>
        </w:rPr>
        <w:t>Датум:12</w:t>
      </w:r>
      <w:r>
        <w:rPr>
          <w:rFonts w:cs="Times New Roman" w:ascii="Times New Roman" w:hAnsi="Times New Roman"/>
          <w:sz w:val="24"/>
          <w:szCs w:val="24"/>
          <w:lang w:val="sr-RS"/>
        </w:rPr>
        <w:t>.</w:t>
      </w:r>
      <w:r>
        <w:rPr>
          <w:rFonts w:cs="Times New Roman" w:ascii="Times New Roman" w:hAnsi="Times New Roman"/>
          <w:b/>
          <w:bCs/>
          <w:sz w:val="24"/>
          <w:szCs w:val="24"/>
          <w:lang w:val="sr-RS"/>
        </w:rPr>
        <w:t>07.2021.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>Одсек за</w:t>
      </w:r>
      <w:r>
        <w:rPr>
          <w:rFonts w:cs="Times New Roman" w:ascii="Times New Roman" w:hAnsi="Times New Roman"/>
          <w:sz w:val="24"/>
          <w:szCs w:val="24"/>
          <w:lang w:val="sr-RS"/>
        </w:rPr>
        <w:t xml:space="preserve"> урбанизам,грађевинарство 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sr-CS"/>
        </w:rPr>
        <w:t>инспекцијске послове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sr-CS" w:eastAsia="sr-Latn-RS"/>
        </w:rPr>
        <w:t xml:space="preserve">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4"/>
          <w:szCs w:val="24"/>
          <w:lang w:val="sr-RS" w:eastAsia="en-US" w:bidi="ar-SA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sr-CS" w:eastAsia="sr-Latn-RS"/>
        </w:rPr>
        <w:t xml:space="preserve">нспекција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sr-RS" w:eastAsia="sr-Latn-RS"/>
        </w:rPr>
        <w:t>за заштиту животне средине</w:t>
      </w:r>
    </w:p>
    <w:p>
      <w:pPr>
        <w:pStyle w:val="Normal"/>
        <w:suppressLineNumbers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sr-RS" w:eastAsia="sr-Latn-R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sr-RS" w:eastAsia="sr-Latn-RS"/>
        </w:rPr>
        <w:t>ЗАШТИТА ЖИВОТНЕ СРЕДИНЕ У ИНДУСТРИЈСКИМ ОБЈЕКТИМА</w:t>
      </w:r>
    </w:p>
    <w:p>
      <w:pPr>
        <w:pStyle w:val="Normal"/>
        <w:suppressLineNumbers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sr-RS" w:eastAsia="sr-Latn-R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sr-RS" w:eastAsia="sr-Latn-RS"/>
        </w:rPr>
      </w:r>
    </w:p>
    <w:p>
      <w:pPr>
        <w:pStyle w:val="Normal"/>
        <w:suppressLineNumbers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sr-RS" w:eastAsia="sr-Latn-R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sr-RS" w:eastAsia="sr-Latn-RS"/>
        </w:rPr>
        <w:t>Контролна листа: ЗАШТИТА ВАЗДУХА КОД ПОСТРОЈЕЊА ЗА САГОРЕВАЊЕ БЕЗ КОНТИНУАЛНОГ МЕРЕЊА</w:t>
      </w:r>
    </w:p>
    <w:p>
      <w:pPr>
        <w:pStyle w:val="Normal"/>
        <w:suppressLineNumbers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sr-RS" w:eastAsia="sr-Latn-RS"/>
        </w:rPr>
      </w:pPr>
      <w:r>
        <w:rPr>
          <w:rFonts w:eastAsia="Times New Roman" w:cs="Times New Roman" w:ascii="Times New Roman" w:hAnsi="Times New Roman"/>
          <w:sz w:val="24"/>
          <w:szCs w:val="24"/>
          <w:lang w:val="sr-RS" w:eastAsia="sr-Latn-RS"/>
        </w:rPr>
        <w:t xml:space="preserve">Обавезе из Закона о заштити ваздуха, за постројења за сагоревање на којима се не врши 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val="sr-RS" w:eastAsia="sr-Latn-RS"/>
        </w:rPr>
        <w:t>континуално мерење емисије са дозволом министарства</w:t>
      </w:r>
    </w:p>
    <w:p>
      <w:pPr>
        <w:pStyle w:val="Normal"/>
        <w:suppressLineNumbers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vertAlign w:val="superscript"/>
          <w:lang w:val="sr-RS" w:eastAsia="sr-Latn-RS"/>
        </w:rPr>
      </w:pP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val="sr-RS" w:eastAsia="sr-Latn-R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iCs/>
          <w:sz w:val="24"/>
          <w:szCs w:val="24"/>
          <w:lang w:val="sr-RS"/>
        </w:rPr>
      </w:pPr>
      <w:r>
        <w:rPr>
          <w:rFonts w:eastAsia="Calibri" w:cs="Times New Roman" w:ascii="Times New Roman" w:hAnsi="Times New Roman"/>
          <w:iCs/>
          <w:sz w:val="24"/>
          <w:szCs w:val="24"/>
          <w:lang w:val="sr-RS"/>
        </w:rPr>
        <w:t>Контролна листа се попуњава само за привредно друштво, друго правно лице или предузетнике, у складу са значењем израза за оператера из члана 3. Закона о заштити ваздуха.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  <w:lang w:val="sr-RS"/>
        </w:rPr>
      </w:pPr>
      <w:r>
        <w:rPr>
          <w:rFonts w:cs="Times New Roman" w:ascii="Times New Roman" w:hAnsi="Times New Roman"/>
          <w:sz w:val="16"/>
          <w:szCs w:val="16"/>
          <w:lang w:val="sr-R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>Табела А</w:t>
      </w:r>
      <w:r>
        <w:rPr>
          <w:rFonts w:cs="Times New Roman" w:ascii="Times New Roman" w:hAnsi="Times New Roman"/>
          <w:sz w:val="24"/>
          <w:szCs w:val="24"/>
          <w:lang w:val="sr-Latn-RS"/>
        </w:rPr>
        <w:t xml:space="preserve">: </w:t>
      </w:r>
      <w:r>
        <w:rPr>
          <w:rFonts w:cs="Times New Roman" w:ascii="Times New Roman" w:hAnsi="Times New Roman"/>
          <w:sz w:val="24"/>
          <w:szCs w:val="24"/>
          <w:lang w:val="sr-RS"/>
        </w:rPr>
        <w:t>Општи подаци</w:t>
      </w:r>
    </w:p>
    <w:tbl>
      <w:tblPr>
        <w:tblStyle w:val="TableGrid"/>
        <w:tblW w:w="1103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61"/>
        <w:gridCol w:w="6172"/>
      </w:tblGrid>
      <w:tr>
        <w:trPr/>
        <w:tc>
          <w:tcPr>
            <w:tcW w:w="486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Назив оператера</w:t>
            </w:r>
          </w:p>
        </w:tc>
        <w:tc>
          <w:tcPr>
            <w:tcW w:w="617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6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Општина и место седишта</w:t>
            </w:r>
          </w:p>
        </w:tc>
        <w:tc>
          <w:tcPr>
            <w:tcW w:w="617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6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Матични број</w:t>
            </w:r>
          </w:p>
        </w:tc>
        <w:tc>
          <w:tcPr>
            <w:tcW w:w="617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6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ПИБ</w:t>
            </w:r>
          </w:p>
        </w:tc>
        <w:tc>
          <w:tcPr>
            <w:tcW w:w="617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6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Име особе за контакт</w:t>
            </w:r>
          </w:p>
        </w:tc>
        <w:tc>
          <w:tcPr>
            <w:tcW w:w="617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95" w:hRule="atLeast"/>
        </w:trPr>
        <w:tc>
          <w:tcPr>
            <w:tcW w:w="486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Телефон и електронска адреса контакт особе</w:t>
            </w:r>
          </w:p>
        </w:tc>
        <w:tc>
          <w:tcPr>
            <w:tcW w:w="617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>
          <w:trHeight w:val="495" w:hRule="atLeast"/>
        </w:trPr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Назив постројења / ознака димњака</w:t>
            </w:r>
          </w:p>
        </w:tc>
        <w:tc>
          <w:tcPr>
            <w:tcW w:w="617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>
          <w:trHeight w:val="495" w:hRule="atLeast"/>
        </w:trPr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Општина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и место постројења</w:t>
            </w:r>
          </w:p>
        </w:tc>
        <w:tc>
          <w:tcPr>
            <w:tcW w:w="617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 xml:space="preserve">Табела Б: </w:t>
      </w:r>
      <w:r>
        <w:rPr>
          <w:rFonts w:eastAsia="Times New Roman" w:cs="Times New Roman" w:ascii="Times New Roman" w:hAnsi="Times New Roman"/>
          <w:sz w:val="24"/>
          <w:szCs w:val="24"/>
          <w:lang w:val="sr-RS" w:eastAsia="sr-Latn-RS"/>
        </w:rPr>
        <w:t>Статус правног лица, предузетника</w:t>
      </w:r>
    </w:p>
    <w:tbl>
      <w:tblPr>
        <w:tblStyle w:val="TableGrid"/>
        <w:tblW w:w="1103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03"/>
        <w:gridCol w:w="2430"/>
      </w:tblGrid>
      <w:tr>
        <w:trPr/>
        <w:tc>
          <w:tcPr>
            <w:tcW w:w="860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43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ДА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НЕ *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</w:p>
        </w:tc>
      </w:tr>
      <w:tr>
        <w:trPr/>
        <w:tc>
          <w:tcPr>
            <w:tcW w:w="11033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*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sr-RS"/>
              </w:rPr>
              <w:t>Када је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sr-RS"/>
              </w:rPr>
              <w:t>одговор „НЕ“, правно лице и предузетник се сматрају нерегистрованим и надзор се врши у складу са одредбом члана 33. Закона о инспекцијском надзору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>Табела В: Законске обавезе</w:t>
      </w:r>
    </w:p>
    <w:tbl>
      <w:tblPr>
        <w:tblStyle w:val="TableGrid"/>
        <w:tblW w:w="11043" w:type="dxa"/>
        <w:jc w:val="center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firstRow="1" w:noVBand="1" w:lastRow="0" w:firstColumn="1" w:lastColumn="0" w:noHBand="0" w:val="04a0"/>
      </w:tblPr>
      <w:tblGrid>
        <w:gridCol w:w="535"/>
        <w:gridCol w:w="7961"/>
        <w:gridCol w:w="2538"/>
        <w:gridCol w:w="9"/>
      </w:tblGrid>
      <w:tr>
        <w:trPr>
          <w:trHeight w:val="312" w:hRule="atLeast"/>
          <w:cantSplit w:val="true"/>
        </w:trPr>
        <w:tc>
          <w:tcPr>
            <w:tcW w:w="11034" w:type="dxa"/>
            <w:gridSpan w:val="3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sr-RS" w:eastAsia="sr-Latn-RS"/>
              </w:rPr>
              <w:t>А) Повремена мерења емисије (испуштања)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А1</w:t>
            </w:r>
          </w:p>
        </w:tc>
        <w:tc>
          <w:tcPr>
            <w:tcW w:w="7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Да ли је овлашћено правно лице извршило једно повремено мерење емисије у првих шест и једно у других шест календарских месеци, за све загађујуће материје</w:t>
            </w:r>
            <w:r>
              <w:rPr>
                <w:rFonts w:eastAsia="TimesNewRoman"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eastAsia="TimesNewRoman" w:cs="Times New Roman" w:ascii="Times New Roman" w:hAnsi="Times New Roman"/>
                <w:sz w:val="24"/>
                <w:szCs w:val="24"/>
                <w:lang w:val="ru-RU"/>
              </w:rPr>
              <w:t xml:space="preserve">и </w:t>
            </w:r>
            <w:r>
              <w:rPr>
                <w:rFonts w:eastAsia="TimesNewRoman" w:cs="Times New Roman" w:ascii="Times New Roman" w:hAnsi="Times New Roman"/>
                <w:sz w:val="24"/>
                <w:szCs w:val="24"/>
                <w:lang w:val="sr-RS"/>
              </w:rPr>
              <w:t xml:space="preserve">при раду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свих котлова који чине постројење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ДА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НЕ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Није примењиво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</w:p>
        </w:tc>
      </w:tr>
      <w:tr>
        <w:trPr>
          <w:trHeight w:val="774" w:hRule="atLeast"/>
          <w:cantSplit w:val="true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А2</w:t>
            </w:r>
          </w:p>
        </w:tc>
        <w:tc>
          <w:tcPr>
            <w:tcW w:w="7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Да ли су повремена и контролно мерење емисије извршени у условима највећег оптерећења постројења и уобичајене потрошње врсте сировина и врсте горива 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ДА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НЕ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Није применљиво</w:t>
            </w:r>
            <w:r>
              <w:rPr>
                <w:rFonts w:cs="Times New Roman"/>
                <w:szCs w:val="24"/>
                <w:lang w:val="sr-RS"/>
              </w:rPr>
              <w:t xml:space="preserve">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Cs w:val="24"/>
                    <w:lang w:val="sr-RS"/>
                  </w:rPr>
                  <w:t>☐</w:t>
                </w:r>
              </w:sdtContent>
            </w:sdt>
          </w:p>
        </w:tc>
      </w:tr>
      <w:tr>
        <w:trPr>
          <w:cantSplit w:val="true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А3</w:t>
            </w:r>
          </w:p>
        </w:tc>
        <w:tc>
          <w:tcPr>
            <w:tcW w:w="7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Да ли је мерно место постављено тако да нема разблаживања отпадних гасова и да нема мешања са отпадним гасовима из стационарног извора који не спада у постројење за сагоревање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ДА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НЕ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Није применљиво</w:t>
            </w:r>
            <w:r>
              <w:rPr>
                <w:rFonts w:cs="Times New Roman"/>
                <w:szCs w:val="24"/>
                <w:lang w:val="sr-RS"/>
              </w:rPr>
              <w:t xml:space="preserve">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Cs w:val="24"/>
                    <w:lang w:val="sr-RS"/>
                  </w:rPr>
                  <w:t>☐</w:t>
                </w:r>
              </w:sdtContent>
            </w:sdt>
          </w:p>
        </w:tc>
      </w:tr>
      <w:tr>
        <w:trPr>
          <w:cantSplit w:val="true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А4</w:t>
            </w:r>
          </w:p>
        </w:tc>
        <w:tc>
          <w:tcPr>
            <w:tcW w:w="7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Да ли је мерно место постављено у складу са захтевима и препорукама стандарда СРПС ЕН 15259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ДА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НЕ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Није применљиво</w:t>
            </w:r>
            <w:r>
              <w:rPr>
                <w:rFonts w:cs="Times New Roman"/>
                <w:szCs w:val="24"/>
                <w:lang w:val="sr-RS"/>
              </w:rPr>
              <w:t xml:space="preserve">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Cs w:val="24"/>
                    <w:lang w:val="sr-RS"/>
                  </w:rPr>
                  <w:t>☐</w:t>
                </w:r>
              </w:sdtContent>
            </w:sdt>
          </w:p>
        </w:tc>
      </w:tr>
      <w:tr>
        <w:trPr>
          <w:cantSplit w:val="true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А5</w:t>
            </w:r>
          </w:p>
        </w:tc>
        <w:tc>
          <w:tcPr>
            <w:tcW w:w="7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Да ли је извршено контролно мерење емисије због основане сумње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ДА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cs="Segoe UI Symbol" w:ascii="Segoe UI Symbol" w:hAnsi="Segoe UI Symbol"/>
                    <w:sz w:val="24"/>
                    <w:szCs w:val="24"/>
                    <w:lang w:val="sr-RS"/>
                  </w:rPr>
                  <w:t>☐</w:t>
                </w:r>
              </w:sdtContent>
            </w:sdt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НЕ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cs="Segoe UI Symbol" w:ascii="Segoe UI Symbol" w:hAnsi="Segoe UI Symbol"/>
                    <w:sz w:val="24"/>
                    <w:szCs w:val="24"/>
                    <w:lang w:val="sr-RS"/>
                  </w:rPr>
                  <w:t>☐</w:t>
                </w:r>
              </w:sdtContent>
            </w:sdt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cs="Times New Roman" w:ascii="Times New Roman" w:hAnsi="Times New Roman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</w:tc>
      </w:tr>
      <w:tr>
        <w:trPr>
          <w:trHeight w:val="312" w:hRule="atLeast"/>
          <w:cantSplit w:val="true"/>
        </w:trPr>
        <w:tc>
          <w:tcPr>
            <w:tcW w:w="11034" w:type="dxa"/>
            <w:gridSpan w:val="3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 w:eastAsia="sr-Latn-RS"/>
              </w:rPr>
              <w:t>Б) Континуално мерење емисије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Б1</w:t>
            </w:r>
          </w:p>
        </w:tc>
        <w:tc>
          <w:tcPr>
            <w:tcW w:w="7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sr-R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RS"/>
              </w:rPr>
              <w:t xml:space="preserve">Да ли је прибављена сагласност министарства за континуална мерења емисије, за све загађујуће материје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за које је прописано</w:t>
            </w: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sr-RS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sr-RS"/>
              </w:rPr>
              <w:t>(Обавеза постоји када су прекорачени прописани масени протоци и када је улазна топлотна снага 100 MWth и већа)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sr-RS"/>
              </w:rPr>
              <w:t>(Изузеци од извршења обавезе су када: 1) у календарској години ради мање од 500 часова, 2) преостали животни век мањи од 10 000 часова код постројења топлотне снаге 100</w:t>
            </w: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sr-Latn-RS"/>
              </w:rPr>
              <w:t>MWth и веће</w:t>
            </w: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sr-RS"/>
              </w:rPr>
              <w:t>, 3) други изузеци из Прилога 3 уредбе о мерењима, и 4) када обавеза постоји само на основу масеног протока загађујуће материје за коју није прописана ГВЕ)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ДА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НЕ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</w:tc>
      </w:tr>
      <w:tr>
        <w:trPr>
          <w:trHeight w:val="312" w:hRule="atLeast"/>
          <w:cantSplit w:val="true"/>
        </w:trPr>
        <w:tc>
          <w:tcPr>
            <w:tcW w:w="11034" w:type="dxa"/>
            <w:gridSpan w:val="3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В) Усклађеност са граничним вредностима емисије (ГВЕ)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04" w:hRule="atLeast"/>
          <w:cantSplit w:val="true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В1</w:t>
            </w:r>
          </w:p>
        </w:tc>
        <w:tc>
          <w:tcPr>
            <w:tcW w:w="7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Да ли су у извештају овлашћеног лица примењене правилне ГВЕ вредности које су прописане уредбом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ДА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НЕ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В2</w:t>
            </w:r>
          </w:p>
        </w:tc>
        <w:tc>
          <w:tcPr>
            <w:tcW w:w="7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Да ли су емисије свих загађујућих материја у дозвољеним вредностима, према резултатима из извештаја овлашћеног лица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(Одговорити за свако узорковање појединачне загађујуће материје из извештаја о мерењу)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ДА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НЕ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</w:p>
        </w:tc>
      </w:tr>
      <w:tr>
        <w:trPr>
          <w:cantSplit w:val="true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В3</w:t>
            </w:r>
          </w:p>
        </w:tc>
        <w:tc>
          <w:tcPr>
            <w:tcW w:w="7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 xml:space="preserve">Да ли је за постројење са ограниченим веком трајања до 31. јануара достављен извештај о утрошеном и неутрошеном времену у претходној години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  <w:lang w:val="sr-RS"/>
              </w:rPr>
              <w:t>(За старо велико постројење достава Агенцији за извештајни период почев од 01.јануара 2018.године; за постојеће средње и постојеће мало постројење достава за извештајни период почев од 01.07.2016.године надлежном органу који је изузео постројење од примене ГВЕ)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ДА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НЕ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 xml:space="preserve">Није применљиво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</w:p>
        </w:tc>
      </w:tr>
      <w:tr>
        <w:trPr>
          <w:trHeight w:val="312" w:hRule="atLeast"/>
          <w:cantSplit w:val="true"/>
        </w:trPr>
        <w:tc>
          <w:tcPr>
            <w:tcW w:w="11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Г) Рад уређаја за смањивање емисије (испуштања)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Г1</w:t>
            </w:r>
          </w:p>
        </w:tc>
        <w:tc>
          <w:tcPr>
            <w:tcW w:w="7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Да ли постоји евиденција о раду уређаја за спречавање или смањивање емисије загађујућих материја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ДА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НЕ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 xml:space="preserve">Није применљиво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</w:p>
        </w:tc>
      </w:tr>
      <w:tr>
        <w:trPr>
          <w:cantSplit w:val="true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Г2</w:t>
            </w:r>
          </w:p>
        </w:tc>
        <w:tc>
          <w:tcPr>
            <w:tcW w:w="7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val="sr-RS"/>
              </w:rPr>
              <w:t>Да ли је постројење било у раду мање од 24 часа непрекидно и мање од 120 часова у календарској години, током прекида рада уређаја за уклањање загађујућих материја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ДА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НЕ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 xml:space="preserve">Није применљиво </w:t>
            </w:r>
            <w:r>
              <w:rPr>
                <w:rFonts w:cs="Segoe UI Symbol" w:ascii="Segoe UI Symbol" w:hAnsi="Segoe UI Symbol"/>
                <w:bCs/>
                <w:sz w:val="24"/>
                <w:szCs w:val="24"/>
                <w:lang w:val="sr-RS"/>
              </w:rPr>
              <w:t>☐</w:t>
            </w:r>
          </w:p>
        </w:tc>
      </w:tr>
      <w:tr>
        <w:trPr>
          <w:cantSplit w:val="true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Г3</w:t>
            </w:r>
          </w:p>
        </w:tc>
        <w:tc>
          <w:tcPr>
            <w:tcW w:w="7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 xml:space="preserve">Да ли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sr-Latn-RS"/>
              </w:rPr>
              <w:t>je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 xml:space="preserve"> после мерења емисије, постројење са уређајима за смањивање емисије коришћен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sr-Latn-RS"/>
              </w:rPr>
              <w:t>o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 xml:space="preserve"> и одржаван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sr-Latn-RS"/>
              </w:rPr>
              <w:t>o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 xml:space="preserve"> тако да нема прекорачења ГВЕ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ДА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НЕ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 xml:space="preserve">Није применљиво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</w:p>
        </w:tc>
      </w:tr>
      <w:tr>
        <w:trPr>
          <w:trHeight w:val="312" w:hRule="atLeast"/>
          <w:cantSplit w:val="true"/>
        </w:trPr>
        <w:tc>
          <w:tcPr>
            <w:tcW w:w="11034" w:type="dxa"/>
            <w:gridSpan w:val="3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Д) Достава података државним органима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Д1</w:t>
            </w:r>
          </w:p>
        </w:tc>
        <w:tc>
          <w:tcPr>
            <w:tcW w:w="7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Да ли је до 31. марта достављен Извештај о годишњем билансу емисија (односно Образац број 2-Емисије у ваздух), који је попуњен за све испусте отпадних гасова, Агенцији (за  постројења топлотног излаза преко 50MWth), односно јединици локалне самоуправе (за постројења топлотног излаза од 1 до 50MWth)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ДА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НЕ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Није применљиво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</w:p>
        </w:tc>
      </w:tr>
      <w:tr>
        <w:trPr>
          <w:cantSplit w:val="true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Д2</w:t>
            </w:r>
          </w:p>
        </w:tc>
        <w:tc>
          <w:tcPr>
            <w:tcW w:w="7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RS"/>
              </w:rPr>
              <w:t>Да ли је у Извештају о годишњем билансу емисија (односно Обрасцу број 2–Емисије у ваздух), унета средња концентрација и годишња количина емисије за сваку загађујућу материју из извештаја о повременим и контролним мерењима и у складу са резултатима из ових извештаја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ДА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НЕ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Није применљиво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</w:p>
        </w:tc>
      </w:tr>
      <w:tr>
        <w:trPr>
          <w:cantSplit w:val="true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Д3</w:t>
            </w:r>
          </w:p>
        </w:tc>
        <w:tc>
          <w:tcPr>
            <w:tcW w:w="7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Да ли је оператер доставио извештаје о повременим мерењима емисије надлежном органу (јединица локалне самоуправе, аутономна покрајина или Агенција)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sr-Latn-RS"/>
              </w:rPr>
              <w:t xml:space="preserve">,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у року 30 дана од завршетка мерења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ДА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НЕ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Није применљиво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</w:p>
        </w:tc>
      </w:tr>
      <w:tr>
        <w:trPr>
          <w:trHeight w:val="312" w:hRule="atLeast"/>
          <w:cantSplit w:val="true"/>
        </w:trPr>
        <w:tc>
          <w:tcPr>
            <w:tcW w:w="11034" w:type="dxa"/>
            <w:gridSpan w:val="3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Ђ) Нова и реконструисана постројења после 23.05.2009.године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Ђ1</w:t>
            </w:r>
          </w:p>
        </w:tc>
        <w:tc>
          <w:tcPr>
            <w:tcW w:w="7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Да ли је на основу Закона о заштити ваздуха надлежни орган издао дозволу или привремено одобрио рад постројења које је изграђено или реконструисано после 23.05.2009.године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(Обавеза не постоји за постројење за које је прописано издавање интергисане дозволе, за постројење за које је прописана обавезна процена утицаја на животну средину и за постројење за које је надлежни орган одлучио да је потребна израда студије о процени утицаја на животну средину)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ДА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cs="Segoe UI Symbol" w:ascii="Segoe UI Symbol" w:hAnsi="Segoe UI Symbol"/>
                    <w:sz w:val="24"/>
                    <w:szCs w:val="24"/>
                    <w:lang w:val="sr-RS"/>
                  </w:rPr>
                  <w:t>☐</w:t>
                </w:r>
              </w:sdtContent>
            </w:sdt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НЕ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cs="Segoe UI Symbol" w:ascii="Segoe UI Symbol" w:hAnsi="Segoe UI Symbol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cs="Times New Roman" w:ascii="Times New Roman" w:hAnsi="Times New Roman"/>
                    <w:sz w:val="24"/>
                    <w:szCs w:val="24"/>
                    <w:lang w:val="sr-RS"/>
                  </w:rPr>
                  <w:t>☐</w:t>
                </w:r>
              </w:sdtContent>
            </w:sdt>
          </w:p>
        </w:tc>
      </w:tr>
      <w:tr>
        <w:trPr>
          <w:cantSplit w:val="true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Ђ2</w:t>
            </w:r>
          </w:p>
        </w:tc>
        <w:tc>
          <w:tcPr>
            <w:tcW w:w="7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Да ли је прибављен извештај овлашћеног лица о гаранцијском мерењу емисије које је извршено у условима највећег оптерећења постројења које је изграђено или реконструисано после 23.05.2009.године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ДА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НЕ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</w:r>
    </w:p>
    <w:tbl>
      <w:tblPr>
        <w:tblStyle w:val="TableGrid"/>
        <w:tblW w:w="11093" w:type="dxa"/>
        <w:jc w:val="left"/>
        <w:tblInd w:w="-90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97"/>
        <w:gridCol w:w="3697"/>
        <w:gridCol w:w="1"/>
        <w:gridCol w:w="3698"/>
      </w:tblGrid>
      <w:tr>
        <w:trPr/>
        <w:tc>
          <w:tcPr>
            <w:tcW w:w="7394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overflowPunct w:val="true"/>
              <w:spacing w:before="0" w:after="1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П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редставници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 xml:space="preserve"> оператера</w:t>
            </w:r>
          </w:p>
        </w:tc>
        <w:tc>
          <w:tcPr>
            <w:tcW w:w="369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overflowPunct w:val="true"/>
              <w:spacing w:before="0" w:after="1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Инспектори за заштиту животне средине</w:t>
            </w:r>
          </w:p>
        </w:tc>
      </w:tr>
      <w:tr>
        <w:trPr/>
        <w:tc>
          <w:tcPr>
            <w:tcW w:w="3697" w:type="dxa"/>
            <w:tcBorders/>
          </w:tcPr>
          <w:p>
            <w:pPr>
              <w:pStyle w:val="Normal"/>
              <w:overflowPunct w:val="true"/>
              <w:spacing w:before="0" w:after="1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Име и презиме</w:t>
            </w:r>
          </w:p>
        </w:tc>
        <w:tc>
          <w:tcPr>
            <w:tcW w:w="3698" w:type="dxa"/>
            <w:gridSpan w:val="2"/>
            <w:tcBorders/>
          </w:tcPr>
          <w:p>
            <w:pPr>
              <w:pStyle w:val="Normal"/>
              <w:overflowPunct w:val="true"/>
              <w:spacing w:before="0" w:after="1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Радно место</w:t>
            </w:r>
          </w:p>
        </w:tc>
        <w:tc>
          <w:tcPr>
            <w:tcW w:w="3698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Име и презиме</w:t>
            </w:r>
          </w:p>
        </w:tc>
      </w:tr>
      <w:tr>
        <w:trPr/>
        <w:tc>
          <w:tcPr>
            <w:tcW w:w="3697" w:type="dxa"/>
            <w:tcBorders/>
          </w:tcPr>
          <w:p>
            <w:pPr>
              <w:pStyle w:val="Normal"/>
              <w:overflowPunct w:val="true"/>
              <w:spacing w:before="0" w:after="16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1.</w:t>
            </w:r>
          </w:p>
        </w:tc>
        <w:tc>
          <w:tcPr>
            <w:tcW w:w="3698" w:type="dxa"/>
            <w:gridSpan w:val="2"/>
            <w:tcBorders/>
          </w:tcPr>
          <w:p>
            <w:pPr>
              <w:pStyle w:val="Normal"/>
              <w:overflowPunct w:val="true"/>
              <w:spacing w:before="0" w:after="16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</w:r>
          </w:p>
        </w:tc>
        <w:tc>
          <w:tcPr>
            <w:tcW w:w="3698" w:type="dxa"/>
            <w:tcBorders/>
          </w:tcPr>
          <w:p>
            <w:pPr>
              <w:pStyle w:val="Normal"/>
              <w:overflowPunct w:val="true"/>
              <w:spacing w:before="0" w:after="16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1.</w:t>
            </w:r>
          </w:p>
        </w:tc>
      </w:tr>
      <w:tr>
        <w:trPr/>
        <w:tc>
          <w:tcPr>
            <w:tcW w:w="3697" w:type="dxa"/>
            <w:tcBorders/>
          </w:tcPr>
          <w:p>
            <w:pPr>
              <w:pStyle w:val="Normal"/>
              <w:overflowPunct w:val="true"/>
              <w:spacing w:before="0" w:after="1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 xml:space="preserve">2. </w:t>
            </w:r>
          </w:p>
        </w:tc>
        <w:tc>
          <w:tcPr>
            <w:tcW w:w="3698" w:type="dxa"/>
            <w:gridSpan w:val="2"/>
            <w:tcBorders/>
          </w:tcPr>
          <w:p>
            <w:pPr>
              <w:pStyle w:val="Normal"/>
              <w:overflowPunct w:val="true"/>
              <w:spacing w:before="0" w:after="16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de-DE"/>
              </w:rPr>
            </w:r>
          </w:p>
        </w:tc>
        <w:tc>
          <w:tcPr>
            <w:tcW w:w="3698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2.</w:t>
            </w:r>
          </w:p>
        </w:tc>
      </w:tr>
      <w:tr>
        <w:trPr/>
        <w:tc>
          <w:tcPr>
            <w:tcW w:w="3697" w:type="dxa"/>
            <w:tcBorders/>
          </w:tcPr>
          <w:p>
            <w:pPr>
              <w:pStyle w:val="Normal"/>
              <w:overflowPunct w:val="true"/>
              <w:spacing w:before="0" w:after="1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 xml:space="preserve">3. </w:t>
            </w:r>
          </w:p>
        </w:tc>
        <w:tc>
          <w:tcPr>
            <w:tcW w:w="3698" w:type="dxa"/>
            <w:gridSpan w:val="2"/>
            <w:tcBorders/>
          </w:tcPr>
          <w:p>
            <w:pPr>
              <w:pStyle w:val="Normal"/>
              <w:overflowPunct w:val="true"/>
              <w:spacing w:before="0" w:after="16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de-DE"/>
              </w:rPr>
            </w:r>
          </w:p>
        </w:tc>
        <w:tc>
          <w:tcPr>
            <w:tcW w:w="3698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3.</w:t>
            </w:r>
          </w:p>
        </w:tc>
      </w:tr>
      <w:tr>
        <w:trPr/>
        <w:tc>
          <w:tcPr>
            <w:tcW w:w="11093" w:type="dxa"/>
            <w:gridSpan w:val="4"/>
            <w:tcBorders/>
          </w:tcPr>
          <w:p>
            <w:pPr>
              <w:pStyle w:val="Normal"/>
              <w:overflowPunct w:val="true"/>
              <w:spacing w:before="0" w:after="1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Датум инспекцијског надзора:</w:t>
            </w:r>
          </w:p>
        </w:tc>
      </w:tr>
      <w:tr>
        <w:trPr>
          <w:trHeight w:val="314" w:hRule="atLeast"/>
        </w:trPr>
        <w:tc>
          <w:tcPr>
            <w:tcW w:w="11093" w:type="dxa"/>
            <w:gridSpan w:val="4"/>
            <w:tcBorders/>
          </w:tcPr>
          <w:p>
            <w:pPr>
              <w:pStyle w:val="Normal"/>
              <w:overflowPunct w:val="true"/>
              <w:spacing w:before="0" w:after="1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рој записника, уз који се прилаже контролна листа: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sr-RS"/>
        </w:rPr>
      </w:pPr>
      <w:r>
        <w:rPr/>
      </w:r>
    </w:p>
    <w:sectPr>
      <w:footerReference w:type="default" r:id="rId3"/>
      <w:type w:val="nextPage"/>
      <w:pgSz w:w="12240" w:h="15840"/>
      <w:pgMar w:left="1440" w:right="1440" w:header="0" w:top="454" w:footer="454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S Gothic">
    <w:charset w:val="00"/>
    <w:family w:val="roman"/>
    <w:pitch w:val="variable"/>
  </w:font>
  <w:font w:name="Segoe UI Symb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87827133"/>
    </w:sdtPr>
    <w:sdtContent>
      <w:p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cs="Times New Roman" w:ascii="Times New Roman" w:hAnsi="Times New Roman"/>
          </w:rPr>
          <w:instrText> PAGE </w:instrText>
        </w:r>
        <w:r>
          <w:rPr>
            <w:sz w:val="24"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szCs w:val="24"/>
            <w:rFonts w:cs="Times New Roman" w:ascii="Times New Roman" w:hAnsi="Times New Roman"/>
          </w:rPr>
          <w:t>3</w:t>
        </w:r>
        <w:r>
          <w:rPr>
            <w:sz w:val="24"/>
            <w:szCs w:val="24"/>
            <w:rFonts w:cs="Times New Roman" w:ascii="Times New Roman" w:hAnsi="Times New Roman"/>
          </w:rPr>
          <w:fldChar w:fldCharType="end"/>
        </w:r>
        <w:r>
          <w:rPr>
            <w:rFonts w:cs="Times New Roman" w:ascii="Times New Roman" w:hAnsi="Times New Roman"/>
            <w:sz w:val="24"/>
            <w:szCs w:val="24"/>
            <w:lang w:val="sr-RS"/>
          </w:rPr>
          <w:t>/3</w:t>
        </w:r>
      </w:p>
    </w:sdtContent>
  </w:sdt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2f4bb0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2f4bb0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23a58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23a5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8BE48-62FB-4FB6-87D2-C269827B2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LibreOffice/6.4.0.3$Windows_X86_64 LibreOffice_project/b0a288ab3d2d4774cb44b62f04d5d28733ac6df8</Application>
  <Pages>3</Pages>
  <Words>944</Words>
  <Characters>4915</Characters>
  <CharactersWithSpaces>6021</CharactersWithSpaces>
  <Paragraphs>135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2021-07-19T08:16:00Z</dcterms:created>
  <dc:creator>Aleksandar</dc:creator>
  <dc:description/>
  <dc:language>en-US</dc:language>
  <cp:lastModifiedBy/>
  <cp:lastPrinted>2019-03-06T06:36:00Z</cp:lastPrinted>
  <dcterms:modified xsi:type="dcterms:W3CDTF">2022-08-12T08:55:46Z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